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AD01B">
      <w:pPr>
        <w:spacing w:after="156" w:afterLines="50"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3</w:t>
      </w:r>
    </w:p>
    <w:p w14:paraId="386BF6B8">
      <w:pPr>
        <w:spacing w:after="312" w:afterLines="100" w:line="560" w:lineRule="exact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高校实验室分类参照表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0773"/>
      </w:tblGrid>
      <w:tr w14:paraId="220F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4" w:type="dxa"/>
          </w:tcPr>
          <w:p w14:paraId="75676F1C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序号</w:t>
            </w:r>
          </w:p>
        </w:tc>
        <w:tc>
          <w:tcPr>
            <w:tcW w:w="1701" w:type="dxa"/>
          </w:tcPr>
          <w:p w14:paraId="688F2E09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实验室分类</w:t>
            </w:r>
          </w:p>
        </w:tc>
        <w:tc>
          <w:tcPr>
            <w:tcW w:w="10773" w:type="dxa"/>
          </w:tcPr>
          <w:p w14:paraId="3448062B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分类参照依据</w:t>
            </w:r>
          </w:p>
        </w:tc>
      </w:tr>
      <w:tr w14:paraId="38B0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04" w:type="dxa"/>
            <w:vAlign w:val="center"/>
          </w:tcPr>
          <w:p w14:paraId="1899FF15"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9929E1B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化学类实验室</w:t>
            </w:r>
          </w:p>
        </w:tc>
        <w:tc>
          <w:tcPr>
            <w:tcW w:w="10773" w:type="dxa"/>
            <w:vAlign w:val="center"/>
          </w:tcPr>
          <w:p w14:paraId="6C94B0C5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包括从事化学、药学、化学工程、环境科学与工程、材料科学与工程等较多涉及化学试剂或化学反应的实验室。这类实验中的危险源分为两类，一类是易燃、易爆、有毒化学品（含实验气体）可能带来的化学性危险源，另一类是设备设施缺陷和防护缺陷所带来的物理性危险源</w:t>
            </w:r>
          </w:p>
        </w:tc>
      </w:tr>
      <w:tr w14:paraId="29CF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04" w:type="dxa"/>
            <w:vAlign w:val="center"/>
          </w:tcPr>
          <w:p w14:paraId="7AF841E9"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5114686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生物类实验室</w:t>
            </w:r>
          </w:p>
        </w:tc>
        <w:tc>
          <w:tcPr>
            <w:tcW w:w="10773" w:type="dxa"/>
            <w:vAlign w:val="center"/>
          </w:tcPr>
          <w:p w14:paraId="155CB16F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包括从事基因工程、微生物学等生物和医学专业中较多涉及病毒、细菌、真菌等微生物研究和动物研究的实验室。这类实验室中细菌、病毒、真菌、寄生虫、动物寄生微生物等为主要危险源，它们的释放、扩散可能会污染实验室内外环境的空气、水、物体表面或感染人体。涉及病原微生物的实验室应进行相应的审批或备案</w:t>
            </w:r>
          </w:p>
        </w:tc>
      </w:tr>
      <w:tr w14:paraId="2ECD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04" w:type="dxa"/>
            <w:vAlign w:val="center"/>
          </w:tcPr>
          <w:p w14:paraId="43F78BC5"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D816D5B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辐射类实验室</w:t>
            </w:r>
          </w:p>
        </w:tc>
        <w:tc>
          <w:tcPr>
            <w:tcW w:w="10773" w:type="dxa"/>
            <w:vAlign w:val="center"/>
          </w:tcPr>
          <w:p w14:paraId="49AA2488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包括物理、核科学与技术、医学、生物、化学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</w:t>
            </w:r>
            <w:r>
              <w:rPr>
                <w:rFonts w:eastAsia="仿宋_GB2312" w:cs="Times New Roman"/>
                <w:kern w:val="0"/>
                <w:szCs w:val="24"/>
              </w:rPr>
              <w:t>材料科学与工程等专业方向中涉及放射性同位素、射线装置与核材料的实验室。这类实验中的危险源主要是放射性同位素、射线装置与核材料产生的电离辐射，可能对人体造成内外照射伤害，也可能对环境产生放射性污染；存放或使用核材料的实验室还存在核安全风险</w:t>
            </w:r>
          </w:p>
        </w:tc>
      </w:tr>
      <w:tr w14:paraId="339D3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704" w:type="dxa"/>
            <w:vAlign w:val="center"/>
          </w:tcPr>
          <w:p w14:paraId="1720B6E7"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218980C8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机电类实验室</w:t>
            </w:r>
          </w:p>
        </w:tc>
        <w:tc>
          <w:tcPr>
            <w:tcW w:w="10773" w:type="dxa"/>
            <w:vAlign w:val="center"/>
          </w:tcPr>
          <w:p w14:paraId="72925F43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包括机械设计与制造、过程装备与控制、化工机械、材料物理、电气工程、激光工程和人工智能等专业方向中涉及高温、高压、高速、高大等机械设备及其他强电、强磁、激光或低温设备的实验室，以及大型机房等。这类实验室的主要危险包括夹击、碰撞、剪切、卷入、绞、碾、割、刺等形式的机械伤害以及灼伤、电路短路、人员触电、激光伤害、冻伤等因素</w:t>
            </w:r>
          </w:p>
        </w:tc>
      </w:tr>
      <w:tr w14:paraId="11FF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04" w:type="dxa"/>
            <w:vAlign w:val="center"/>
          </w:tcPr>
          <w:p w14:paraId="2965468B"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2016C258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其他类实验室</w:t>
            </w:r>
          </w:p>
        </w:tc>
        <w:tc>
          <w:tcPr>
            <w:tcW w:w="10773" w:type="dxa"/>
            <w:vAlign w:val="center"/>
          </w:tcPr>
          <w:p w14:paraId="0593C1C8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包括社科类、艺术类专业相关的实验室或实训室，危险源主要是少量的用电设备可能带来的用电安全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或消防安全</w:t>
            </w:r>
            <w:r>
              <w:rPr>
                <w:rFonts w:eastAsia="仿宋_GB2312" w:cs="Times New Roman"/>
                <w:kern w:val="0"/>
                <w:szCs w:val="24"/>
              </w:rPr>
              <w:t>风险</w:t>
            </w:r>
          </w:p>
        </w:tc>
      </w:tr>
    </w:tbl>
    <w:p w14:paraId="1CB21936">
      <w:pPr>
        <w:ind w:firstLine="480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4B"/>
    <w:rsid w:val="000B1D4B"/>
    <w:rsid w:val="0053285C"/>
    <w:rsid w:val="0B9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673</Characters>
  <Lines>4</Lines>
  <Paragraphs>1</Paragraphs>
  <TotalTime>1</TotalTime>
  <ScaleCrop>false</ScaleCrop>
  <LinksUpToDate>false</LinksUpToDate>
  <CharactersWithSpaces>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2024-04-19T06:16:00Z</dcterms:created>
  <dc:creator>dell</dc:creator>
  <cp:lastModifiedBy>杂冀悄嗜诰</cp:lastModifiedBy>
  <cp:lastPrinted>2025-03-24T07:55:33Z</cp:lastPrinted>
  <dcterms:modified xsi:type="dcterms:W3CDTF">2025-03-24T07:56:35Z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eyJoZGlkIjoiNTRkZmJlYjg0Y2Q1ZTg5OTgyNmM3NGIxNDQzOThhYjEiLCJ1c2VySWQiOiIxNTkwMjY2NTQ0In0=</vt:lpwstr>
  </property>
  <property fmtid="{D5CDD505-2E9C-101B-9397-08002B2CF9AE}" pid="3" name="KSOProductBuildVer">
    <vt:lpwstr>2052-12.1.0.20305</vt:lpwstr>
  </property>
  <property fmtid="{D5CDD505-2E9C-101B-9397-08002B2CF9AE}" pid="4" name="ICV">
    <vt:lpwstr>C3538B308EEB4F358C17F147661738C5_12</vt:lpwstr>
  </property>
</Properties>
</file>